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7DE" w:rsidRPr="009437DE" w:rsidRDefault="00E35194" w:rsidP="001610FB">
      <w:pPr>
        <w:spacing w:after="160" w:line="480" w:lineRule="auto"/>
        <w:jc w:val="center"/>
        <w:rPr>
          <w:rFonts w:ascii="Times New Roman" w:eastAsia="Times New Roman" w:hAnsi="Times New Roman" w:cs="Times New Roman"/>
          <w:b/>
          <w:sz w:val="24"/>
        </w:rPr>
      </w:pPr>
      <w:bookmarkStart w:id="0" w:name="_GoBack"/>
      <w:bookmarkEnd w:id="0"/>
      <w:r w:rsidRPr="009437DE">
        <w:rPr>
          <w:rFonts w:ascii="Times New Roman" w:eastAsia="Times New Roman" w:hAnsi="Times New Roman" w:cs="Times New Roman"/>
          <w:b/>
          <w:sz w:val="24"/>
        </w:rPr>
        <w:t>Banks and auditing</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IAS 39 and IFRS 9 are some of the significant accounting standards with a major difference in the need to have recognition of credit loss allowances based on the financial assets initial recognition. The IAS 39 the recognition of impairment occurs at great</w:t>
      </w:r>
      <w:r>
        <w:rPr>
          <w:rFonts w:ascii="Times New Roman" w:eastAsia="Times New Roman" w:hAnsi="Times New Roman" w:cs="Times New Roman"/>
          <w:sz w:val="24"/>
        </w:rPr>
        <w:t>er stages upon realization of a credit loss event. This report presents an analysis and comparison of the provided five PORTUGUESE BANKS including BCP, CGD, BPI, Novo Banco and Banco CTT, by considering their financial performance in the industry. Other di</w:t>
      </w:r>
      <w:r>
        <w:rPr>
          <w:rFonts w:ascii="Times New Roman" w:eastAsia="Times New Roman" w:hAnsi="Times New Roman" w:cs="Times New Roman"/>
          <w:sz w:val="24"/>
        </w:rPr>
        <w:t>scussions included in the report are the Classification and Measurement of bonds as well as the impacts of impairment on the banks' equity. The analysis makes use of the IFRS 9 and the IAS 39 since the two accounting standards regulating the corporate trea</w:t>
      </w:r>
      <w:r>
        <w:rPr>
          <w:rFonts w:ascii="Times New Roman" w:eastAsia="Times New Roman" w:hAnsi="Times New Roman" w:cs="Times New Roman"/>
          <w:sz w:val="24"/>
        </w:rPr>
        <w:t>sures by addressing the way of accounting for the financial instruments governing the firms' operations.</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Many organizations work together with the EBA to develop a framework that assists in improving the effectiveness of the anti-money laundry strategies a</w:t>
      </w:r>
      <w:r>
        <w:rPr>
          <w:rFonts w:ascii="Times New Roman" w:eastAsia="Times New Roman" w:hAnsi="Times New Roman" w:cs="Times New Roman"/>
          <w:sz w:val="24"/>
        </w:rPr>
        <w:t>nd financing of terrorist activities in the world. Some of the European securities working together with the EBA include the markets authority and the European insurance and occupational pension (Abad &amp; Suarez, 2017). The transformation of the IAS 39 trans</w:t>
      </w:r>
      <w:r>
        <w:rPr>
          <w:rFonts w:ascii="Times New Roman" w:eastAsia="Times New Roman" w:hAnsi="Times New Roman" w:cs="Times New Roman"/>
          <w:sz w:val="24"/>
        </w:rPr>
        <w:t xml:space="preserve">ition to IFRS 9 has created several new changes in the classification and measurement done by the Portuguese banking institutions. The exchange of various financial liabilities by the banks has been greatly affected by the implementation of IFRS 9 (Palea, </w:t>
      </w:r>
      <w:r>
        <w:rPr>
          <w:rFonts w:ascii="Times New Roman" w:eastAsia="Times New Roman" w:hAnsi="Times New Roman" w:cs="Times New Roman"/>
          <w:sz w:val="24"/>
        </w:rPr>
        <w:t>2014). The payment features have changed in the IFRS 9 as there is a need to issue negative compensation in issuing the banks' financial liabilities.</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Reclassification and re-measurement of the financial assets is an essential part of the classification and</w:t>
      </w:r>
      <w:r>
        <w:rPr>
          <w:rFonts w:ascii="Times New Roman" w:eastAsia="Times New Roman" w:hAnsi="Times New Roman" w:cs="Times New Roman"/>
          <w:sz w:val="24"/>
        </w:rPr>
        <w:t xml:space="preserve"> measurement of the financial institution operations (Cardao-Pito, &amp; Barros, 2016). the IFRS 9 transition from the IFRS has increased the banks' loans and receivables from </w:t>
      </w:r>
      <w:r>
        <w:rPr>
          <w:rFonts w:ascii="Times New Roman" w:eastAsia="Times New Roman" w:hAnsi="Times New Roman" w:cs="Times New Roman"/>
          <w:sz w:val="24"/>
        </w:rPr>
        <w:lastRenderedPageBreak/>
        <w:t xml:space="preserve">62.2% to 87.1% showing a decrease in the amount of finance available for lending or </w:t>
      </w:r>
      <w:r>
        <w:rPr>
          <w:rFonts w:ascii="Times New Roman" w:eastAsia="Times New Roman" w:hAnsi="Times New Roman" w:cs="Times New Roman"/>
          <w:sz w:val="24"/>
        </w:rPr>
        <w:t>loan provision to clients (Palea, 2014). However, the finances held to maturity by the financial institutions have significantly reduced from 17.95 to 11%. Moreover, the net impairment charge by the banks on loans issued have significantly reduced followin</w:t>
      </w:r>
      <w:r>
        <w:rPr>
          <w:rFonts w:ascii="Times New Roman" w:eastAsia="Times New Roman" w:hAnsi="Times New Roman" w:cs="Times New Roman"/>
          <w:sz w:val="24"/>
        </w:rPr>
        <w:t>g the transition of IFRS by 15.1% approximately as the new value provided to clients and investors measured at USD 1.5 billion.</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Retain earning provides an overview of the banking institutions accumulated net income that has been retained by the organizatio</w:t>
      </w:r>
      <w:r>
        <w:rPr>
          <w:rFonts w:ascii="Times New Roman" w:eastAsia="Times New Roman" w:hAnsi="Times New Roman" w:cs="Times New Roman"/>
          <w:sz w:val="24"/>
        </w:rPr>
        <w:t>ns over a specified period. The IFRS 9 has significantly lowered the amount of retained earnings that the Portuguese banks records since its implementation (Nadia &amp; Rosa, 2014). For instance, the average industry retained earnings in 2017 was valued at $79</w:t>
      </w:r>
      <w:r>
        <w:rPr>
          <w:rFonts w:ascii="Times New Roman" w:eastAsia="Times New Roman" w:hAnsi="Times New Roman" w:cs="Times New Roman"/>
          <w:sz w:val="24"/>
        </w:rPr>
        <w:t>9 million that reduced to 249 billion in 2018 upon the initiation of the IFRS 9 in governing the operation of the financial institutions.  Through close monitoring of the assets, the policy safeguards the profit, brand value as well as keeping of the non-p</w:t>
      </w:r>
      <w:r>
        <w:rPr>
          <w:rFonts w:ascii="Times New Roman" w:eastAsia="Times New Roman" w:hAnsi="Times New Roman" w:cs="Times New Roman"/>
          <w:sz w:val="24"/>
        </w:rPr>
        <w:t>erformance assets by the banks under proper control.</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IFRS 9 restrict the banks to provide or release quarterly reporting records of their financial operations as opposed to the yearly banking information that was used earlier before the IFRS implementa</w:t>
      </w:r>
      <w:r>
        <w:rPr>
          <w:rFonts w:ascii="Times New Roman" w:eastAsia="Times New Roman" w:hAnsi="Times New Roman" w:cs="Times New Roman"/>
          <w:sz w:val="24"/>
        </w:rPr>
        <w:t>tion (Nadia &amp; Rosa, 2014). Similarly, the standards require that financial organization to carry out both internal and external ECL model validation at least once a year for proper monitoring of performance (Palea, 2014). The way allowances on the first fi</w:t>
      </w:r>
      <w:r>
        <w:rPr>
          <w:rFonts w:ascii="Times New Roman" w:eastAsia="Times New Roman" w:hAnsi="Times New Roman" w:cs="Times New Roman"/>
          <w:sz w:val="24"/>
        </w:rPr>
        <w:t>rms' exposure and second have been changed to be a collective provision in the LGD computation by the IFRS 9. However, the excess amount of total funds in the collective impairment provision cannot be back written in the adoption of the IFRS at the initial</w:t>
      </w:r>
      <w:r>
        <w:rPr>
          <w:rFonts w:ascii="Times New Roman" w:eastAsia="Times New Roman" w:hAnsi="Times New Roman" w:cs="Times New Roman"/>
          <w:sz w:val="24"/>
        </w:rPr>
        <w:t xml:space="preserve"> stages.</w:t>
      </w:r>
    </w:p>
    <w:p w:rsidR="009437DE" w:rsidRDefault="00E35194" w:rsidP="001610FB">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IFRS </w:t>
      </w:r>
      <w:r w:rsidR="001610FB">
        <w:rPr>
          <w:rFonts w:ascii="Times New Roman" w:eastAsia="Times New Roman" w:hAnsi="Times New Roman" w:cs="Times New Roman"/>
          <w:b/>
          <w:sz w:val="24"/>
        </w:rPr>
        <w:t>and Financial Security</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Investors in the banking institutions paid funds (equity capital) in exchange for preferred as well as the institutions common stock (Cardao-Pito, &amp; Barros, 2016). Therefore, equity is considered as one of the primary f</w:t>
      </w:r>
      <w:r>
        <w:rPr>
          <w:rFonts w:ascii="Times New Roman" w:eastAsia="Times New Roman" w:hAnsi="Times New Roman" w:cs="Times New Roman"/>
          <w:sz w:val="24"/>
        </w:rPr>
        <w:t>unding of the institutions as debt funding can be added to it. From the excel valuations, the IFRS causes an increase in the relevant accounting numbers for investors in the financial sector security on equity. As the Portuguese banks shift or adopt the IF</w:t>
      </w:r>
      <w:r>
        <w:rPr>
          <w:rFonts w:ascii="Times New Roman" w:eastAsia="Times New Roman" w:hAnsi="Times New Roman" w:cs="Times New Roman"/>
          <w:sz w:val="24"/>
        </w:rPr>
        <w:t xml:space="preserve">RS fully, more gain is registered in the security market. The primary role of the co-operating security market is carryout supply to the banks at affordable costs. Implementation of the IFRS has made the function of co-operating security to be achieved as </w:t>
      </w:r>
      <w:r>
        <w:rPr>
          <w:rFonts w:ascii="Times New Roman" w:eastAsia="Times New Roman" w:hAnsi="Times New Roman" w:cs="Times New Roman"/>
          <w:sz w:val="24"/>
        </w:rPr>
        <w:t>the prices available in the market are lower compared to the time before the IFRS implementation.</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Generally, there is a significant decrease in the cost of equity both in the Portuguese banks and other financial institutions operating in other parts of the</w:t>
      </w:r>
      <w:r>
        <w:rPr>
          <w:rFonts w:ascii="Times New Roman" w:eastAsia="Times New Roman" w:hAnsi="Times New Roman" w:cs="Times New Roman"/>
          <w:sz w:val="24"/>
        </w:rPr>
        <w:t xml:space="preserve"> world like Europe upon the implementation of the IFRS policy. Moreover, the insensitive groups are on the rise following the initiation of the standard (Cardao-Pito, &amp; Barros, 2016), however, the reduction in the cost of equity with the IFRS policy is hig</w:t>
      </w:r>
      <w:r>
        <w:rPr>
          <w:rFonts w:ascii="Times New Roman" w:eastAsia="Times New Roman" w:hAnsi="Times New Roman" w:cs="Times New Roman"/>
          <w:sz w:val="24"/>
        </w:rPr>
        <w:t>her in organizations with greater foreign capital demand as the compatibility of the financial statement is improved across the boarders by the IFRS. The ways contracts are bought by financial organizations have also changed while buying or selling the non</w:t>
      </w:r>
      <w:r>
        <w:rPr>
          <w:rFonts w:ascii="Times New Roman" w:eastAsia="Times New Roman" w:hAnsi="Times New Roman" w:cs="Times New Roman"/>
          <w:sz w:val="24"/>
        </w:rPr>
        <w:t xml:space="preserve">-financial elements in the banking sector. </w:t>
      </w:r>
    </w:p>
    <w:p w:rsidR="009437DE" w:rsidRDefault="00E35194" w:rsidP="009437DE">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The </w:t>
      </w:r>
      <w:r w:rsidR="001610FB">
        <w:rPr>
          <w:rFonts w:ascii="Times New Roman" w:eastAsia="Times New Roman" w:hAnsi="Times New Roman" w:cs="Times New Roman"/>
          <w:b/>
          <w:sz w:val="24"/>
        </w:rPr>
        <w:t xml:space="preserve">Benefits and Limitations of </w:t>
      </w:r>
      <w:r>
        <w:rPr>
          <w:rFonts w:ascii="Times New Roman" w:eastAsia="Times New Roman" w:hAnsi="Times New Roman" w:cs="Times New Roman"/>
          <w:b/>
          <w:sz w:val="24"/>
        </w:rPr>
        <w:t xml:space="preserve">IFRS </w:t>
      </w:r>
      <w:r w:rsidR="001610FB">
        <w:rPr>
          <w:rFonts w:ascii="Times New Roman" w:eastAsia="Times New Roman" w:hAnsi="Times New Roman" w:cs="Times New Roman"/>
          <w:b/>
          <w:sz w:val="24"/>
        </w:rPr>
        <w:t>9</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Typically, the IFRS 9 contains the option for disintegrating at the initial recognition as it assists in lowering the possible mismatches that might occur during the recogni</w:t>
      </w:r>
      <w:r>
        <w:rPr>
          <w:rFonts w:ascii="Times New Roman" w:eastAsia="Times New Roman" w:hAnsi="Times New Roman" w:cs="Times New Roman"/>
          <w:sz w:val="24"/>
        </w:rPr>
        <w:t xml:space="preserve">tion of the assets, liabilities as well as loses and gains recorded by the financial organizations (Novotny-Farkas, 2016). The International Financial Reporting Standards 9 is divided into three major faces that </w:t>
      </w:r>
      <w:r>
        <w:rPr>
          <w:rFonts w:ascii="Times New Roman" w:eastAsia="Times New Roman" w:hAnsi="Times New Roman" w:cs="Times New Roman"/>
          <w:sz w:val="24"/>
        </w:rPr>
        <w:lastRenderedPageBreak/>
        <w:t>are impairment, hedge accounting, and classi</w:t>
      </w:r>
      <w:r>
        <w:rPr>
          <w:rFonts w:ascii="Times New Roman" w:eastAsia="Times New Roman" w:hAnsi="Times New Roman" w:cs="Times New Roman"/>
          <w:sz w:val="24"/>
        </w:rPr>
        <w:t>fication &amp; measurement. Some of the benefits of the International Financial Reporting Standards 9 in the financial industry are discussed below.</w:t>
      </w:r>
    </w:p>
    <w:p w:rsidR="009437DE" w:rsidRDefault="00E35194" w:rsidP="009437DE">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International Financial Reporting Standards 9 assists in the credit appraisal as well as in the pre-sanction pr</w:t>
      </w:r>
      <w:r>
        <w:rPr>
          <w:rFonts w:ascii="Times New Roman" w:eastAsia="Times New Roman" w:hAnsi="Times New Roman" w:cs="Times New Roman"/>
          <w:sz w:val="24"/>
        </w:rPr>
        <w:t>ocess (Onali &amp; Ginesti, 2014). The International Financial Reporting Standards 9 needs the financial organizations to tighten their respective credit appraisal process as it is considered that the appraisal process is the cause of the internal loan account</w:t>
      </w:r>
      <w:r>
        <w:rPr>
          <w:rFonts w:ascii="Times New Roman" w:eastAsia="Times New Roman" w:hAnsi="Times New Roman" w:cs="Times New Roman"/>
          <w:sz w:val="24"/>
        </w:rPr>
        <w:t>s turning bad in the five presented banks apart from the external elements like an economic slowdown. Another sign of the International Financial Reporting Standards 9 is that it monitors the banks' assets closely (Novotny-Farkas, 2016). Monitoring of asse</w:t>
      </w:r>
      <w:r>
        <w:rPr>
          <w:rFonts w:ascii="Times New Roman" w:eastAsia="Times New Roman" w:hAnsi="Times New Roman" w:cs="Times New Roman"/>
          <w:sz w:val="24"/>
        </w:rPr>
        <w:t>ts is essential for the financial institutions' operations as the assets that are underperforming can be identified to improve their efficiency. Through close monitoring of the assets, the policy safeguards the profit, brand value as well as keeping of the</w:t>
      </w:r>
      <w:r>
        <w:rPr>
          <w:rFonts w:ascii="Times New Roman" w:eastAsia="Times New Roman" w:hAnsi="Times New Roman" w:cs="Times New Roman"/>
          <w:sz w:val="24"/>
        </w:rPr>
        <w:t xml:space="preserve"> non-performance assets by the banks under proper control.</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International Financial Reporting Standards 9 also facilitates capital and business planning in the banks. Since the policy present, a direct impact on the banks retain earnings; the money is as we</w:t>
      </w:r>
      <w:r>
        <w:rPr>
          <w:rFonts w:ascii="Times New Roman" w:eastAsia="Times New Roman" w:hAnsi="Times New Roman" w:cs="Times New Roman"/>
          <w:sz w:val="24"/>
        </w:rPr>
        <w:t xml:space="preserve">ll affected directly thus the standard promotes efficient use of the limited resources to maximize profit as part of the planning process (Novotny-Farkas, 2016). Moreover, the International Financial Reporting Standards 9 promotes transparency to both the </w:t>
      </w:r>
      <w:r>
        <w:rPr>
          <w:rFonts w:ascii="Times New Roman" w:eastAsia="Times New Roman" w:hAnsi="Times New Roman" w:cs="Times New Roman"/>
          <w:sz w:val="24"/>
        </w:rPr>
        <w:t xml:space="preserve">investors and public members in the financial sector through the promotion of market disclosures. The standard guidelines encourage the documentation of the management internal credit risk policies as well as procedures that facilitates the smooth running </w:t>
      </w:r>
      <w:r>
        <w:rPr>
          <w:rFonts w:ascii="Times New Roman" w:eastAsia="Times New Roman" w:hAnsi="Times New Roman" w:cs="Times New Roman"/>
          <w:sz w:val="24"/>
        </w:rPr>
        <w:t xml:space="preserve">process of the institutions. </w:t>
      </w:r>
    </w:p>
    <w:p w:rsidR="009437DE" w:rsidRDefault="00E35194" w:rsidP="001610FB">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Despite the benefits of the International Financial Reporting Standards 9, the policy increases the cost of smaller micro-financial institution implementation. The larger firms can absorb the adopting cost of the standards as </w:t>
      </w:r>
      <w:r>
        <w:rPr>
          <w:rFonts w:ascii="Times New Roman" w:eastAsia="Times New Roman" w:hAnsi="Times New Roman" w:cs="Times New Roman"/>
          <w:sz w:val="24"/>
        </w:rPr>
        <w:t xml:space="preserve">opposed to smaller organizations due to the several </w:t>
      </w:r>
      <w:r>
        <w:rPr>
          <w:rFonts w:ascii="Times New Roman" w:eastAsia="Times New Roman" w:hAnsi="Times New Roman" w:cs="Times New Roman"/>
          <w:sz w:val="24"/>
        </w:rPr>
        <w:lastRenderedPageBreak/>
        <w:t>reports that it requires firms to produce (Cardao-Pito, &amp; Barros, 2016). Another shortcoming associated with the International Financial Reporting Standards 9 is that it needs international consistency in</w:t>
      </w:r>
      <w:r>
        <w:rPr>
          <w:rFonts w:ascii="Times New Roman" w:eastAsia="Times New Roman" w:hAnsi="Times New Roman" w:cs="Times New Roman"/>
          <w:sz w:val="24"/>
        </w:rPr>
        <w:t xml:space="preserve"> the auditing process by the financial institutions. The amount of work done by the accountants is increased following the several financial and accounting regulation imposed by the policy. Therefore, need to have changes in the education skills are promot</w:t>
      </w:r>
      <w:r>
        <w:rPr>
          <w:rFonts w:ascii="Times New Roman" w:eastAsia="Times New Roman" w:hAnsi="Times New Roman" w:cs="Times New Roman"/>
          <w:sz w:val="24"/>
        </w:rPr>
        <w:t xml:space="preserve">ed by the standard in the long run of the bookkeeping process by the accountants. </w:t>
      </w: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1610FB" w:rsidRDefault="001610FB" w:rsidP="001610FB">
      <w:pPr>
        <w:spacing w:after="160" w:line="480" w:lineRule="auto"/>
        <w:ind w:firstLine="720"/>
        <w:rPr>
          <w:rFonts w:ascii="Times New Roman" w:eastAsia="Times New Roman" w:hAnsi="Times New Roman" w:cs="Times New Roman"/>
          <w:sz w:val="24"/>
        </w:rPr>
      </w:pPr>
    </w:p>
    <w:p w:rsidR="009437DE" w:rsidRDefault="009437DE" w:rsidP="009437DE">
      <w:pPr>
        <w:spacing w:after="160" w:line="480" w:lineRule="auto"/>
        <w:rPr>
          <w:rFonts w:ascii="Times New Roman" w:eastAsia="Times New Roman" w:hAnsi="Times New Roman" w:cs="Times New Roman"/>
          <w:sz w:val="24"/>
        </w:rPr>
      </w:pPr>
    </w:p>
    <w:p w:rsidR="009437DE" w:rsidRDefault="00E35194" w:rsidP="009437DE">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References</w:t>
      </w:r>
    </w:p>
    <w:p w:rsidR="009437DE" w:rsidRDefault="00E35194" w:rsidP="009437DE">
      <w:pPr>
        <w:spacing w:after="16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Novotny-Farkas</w:t>
      </w:r>
      <w:r>
        <w:rPr>
          <w:rFonts w:ascii="Times New Roman" w:eastAsia="Times New Roman" w:hAnsi="Times New Roman" w:cs="Times New Roman"/>
          <w:sz w:val="24"/>
        </w:rPr>
        <w:t xml:space="preserve">, Z. (2016). The interaction of the IFRS 9 expected loss approach with supervisory rules and implications for financial stability. Accounting in Europe, 13(2), 197-227. available at: </w:t>
      </w:r>
      <w:hyperlink r:id="rId4" w:history="1">
        <w:r>
          <w:rPr>
            <w:rFonts w:ascii="Times New Roman" w:eastAsia="Times New Roman" w:hAnsi="Times New Roman" w:cs="Times New Roman"/>
            <w:color w:val="0000FF"/>
            <w:sz w:val="24"/>
            <w:u w:val="single"/>
          </w:rPr>
          <w:t>https://www.tandfonline.com/doi/abs/10.1080/17449480.2016.1210180</w:t>
        </w:r>
      </w:hyperlink>
    </w:p>
    <w:p w:rsidR="009437DE" w:rsidRDefault="00E35194" w:rsidP="009437DE">
      <w:pPr>
        <w:spacing w:after="16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Cardao-Pito, T., &amp; Barros, J. (2016). The Application of'Fair Value'Accounting Standards to the Income Statements of Companies Listed in the Portuguese Stock Index-20 (PSI-20). RBGN</w:t>
      </w:r>
      <w:r>
        <w:rPr>
          <w:rFonts w:ascii="Times New Roman" w:eastAsia="Times New Roman" w:hAnsi="Times New Roman" w:cs="Times New Roman"/>
          <w:sz w:val="24"/>
        </w:rPr>
        <w:t xml:space="preserve">-Revista Brasileira de Gestão de Negócios, 18(59), 67-86. available at: </w:t>
      </w:r>
      <w:hyperlink r:id="rId5" w:history="1">
        <w:r>
          <w:rPr>
            <w:rFonts w:ascii="Times New Roman" w:eastAsia="Times New Roman" w:hAnsi="Times New Roman" w:cs="Times New Roman"/>
            <w:color w:val="0000FF"/>
            <w:sz w:val="24"/>
            <w:u w:val="single"/>
          </w:rPr>
          <w:t>https://papers.ssrn.com/sol3/papers.cfm?abstract_id=2795448</w:t>
        </w:r>
      </w:hyperlink>
    </w:p>
    <w:p w:rsidR="009437DE" w:rsidRDefault="00E35194" w:rsidP="009437DE">
      <w:pPr>
        <w:spacing w:after="16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Palea, V. (2014). Fair value accounting and its </w:t>
      </w:r>
      <w:r>
        <w:rPr>
          <w:rFonts w:ascii="Times New Roman" w:eastAsia="Times New Roman" w:hAnsi="Times New Roman" w:cs="Times New Roman"/>
          <w:sz w:val="24"/>
        </w:rPr>
        <w:t xml:space="preserve">usefulness to financial statement users. Journal of Financial Reporting and Accounting, 12(2), 102-116. retrieved from; </w:t>
      </w:r>
      <w:hyperlink r:id="rId6" w:history="1">
        <w:r>
          <w:rPr>
            <w:rFonts w:ascii="Times New Roman" w:eastAsia="Times New Roman" w:hAnsi="Times New Roman" w:cs="Times New Roman"/>
            <w:color w:val="0000FF"/>
            <w:sz w:val="24"/>
            <w:u w:val="single"/>
          </w:rPr>
          <w:t>https://www.emeraldinsight.com/doi/abs/10.1108/JFRA-04-</w:t>
        </w:r>
        <w:r>
          <w:rPr>
            <w:rFonts w:ascii="Times New Roman" w:eastAsia="Times New Roman" w:hAnsi="Times New Roman" w:cs="Times New Roman"/>
            <w:color w:val="0000FF"/>
            <w:sz w:val="24"/>
            <w:u w:val="single"/>
          </w:rPr>
          <w:t>2013-0021</w:t>
        </w:r>
      </w:hyperlink>
    </w:p>
    <w:p w:rsidR="009437DE" w:rsidRDefault="009437DE" w:rsidP="009437DE">
      <w:pPr>
        <w:spacing w:after="160" w:line="480" w:lineRule="auto"/>
        <w:rPr>
          <w:rFonts w:ascii="Times New Roman" w:eastAsia="Times New Roman" w:hAnsi="Times New Roman" w:cs="Times New Roman"/>
          <w:sz w:val="24"/>
        </w:rPr>
      </w:pPr>
    </w:p>
    <w:p w:rsidR="002D6EC5" w:rsidRDefault="002D6EC5"/>
    <w:sectPr w:rsidR="002D6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7DE"/>
    <w:rsid w:val="001610FB"/>
    <w:rsid w:val="002D6EC5"/>
    <w:rsid w:val="009437DE"/>
    <w:rsid w:val="00E3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DE0C7E-EA81-41DB-B4ED-01A3D8C0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7D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insight.com/doi/abs/10.1108/JFRA-04-2013-0021" TargetMode="External"/><Relationship Id="rId5" Type="http://schemas.openxmlformats.org/officeDocument/2006/relationships/hyperlink" Target="https://papers.ssrn.com/sol3/papers.cfm?abstract_id=2795448" TargetMode="External"/><Relationship Id="rId4" Type="http://schemas.openxmlformats.org/officeDocument/2006/relationships/hyperlink" Target="https://www.tandfonline.com/doi/abs/10.1080/17449480.2016.1210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comp7</dc:creator>
  <cp:lastModifiedBy>Microsoft</cp:lastModifiedBy>
  <cp:revision>2</cp:revision>
  <dcterms:created xsi:type="dcterms:W3CDTF">2019-11-24T07:30:00Z</dcterms:created>
  <dcterms:modified xsi:type="dcterms:W3CDTF">2019-11-24T07:30:00Z</dcterms:modified>
</cp:coreProperties>
</file>